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664902" w:rsidP="00A365BE">
      <w:pPr>
        <w:pStyle w:val="a3"/>
        <w:spacing w:before="0" w:after="0"/>
        <w:ind w:firstLine="567"/>
        <w:contextualSpacing/>
        <w:jc w:val="both"/>
        <w:rPr>
          <w:rFonts w:ascii="Arial" w:hAnsi="Arial" w:cs="Arial"/>
          <w:b/>
          <w:sz w:val="22"/>
          <w:szCs w:val="22"/>
        </w:rPr>
      </w:pPr>
      <w:r>
        <w:rPr>
          <w:rFonts w:ascii="Arial" w:hAnsi="Arial" w:cs="Arial"/>
          <w:b/>
          <w:sz w:val="22"/>
          <w:szCs w:val="22"/>
        </w:rPr>
        <w:t xml:space="preserve">                                                                                       </w:t>
      </w:r>
      <w:r w:rsidR="00A365BE" w:rsidRPr="00A365BE">
        <w:rPr>
          <w:rFonts w:ascii="Arial" w:hAnsi="Arial" w:cs="Arial"/>
          <w:b/>
          <w:sz w:val="22"/>
          <w:szCs w:val="22"/>
        </w:rPr>
        <w:t xml:space="preserve">РАЗДЕЛ II. КАРТА ГРАДОСТРОИТЕЛЬНОГО ЗОНИРОВАНИЯ СЕЛЬСКОГО ПОСЕЛЕНИЯ </w:t>
      </w:r>
      <w:r w:rsidR="00895670">
        <w:rPr>
          <w:rFonts w:ascii="Arial" w:hAnsi="Arial" w:cs="Arial"/>
          <w:b/>
          <w:sz w:val="22"/>
          <w:szCs w:val="22"/>
        </w:rPr>
        <w:t>БЕКЕТОВСКИЙ</w:t>
      </w:r>
      <w:r w:rsidR="008A4BC1">
        <w:rPr>
          <w:rFonts w:ascii="Arial" w:hAnsi="Arial" w:cs="Arial"/>
          <w:b/>
          <w:sz w:val="22"/>
          <w:szCs w:val="22"/>
        </w:rPr>
        <w:t xml:space="preserve"> СЕЛЬСОВЕТ</w:t>
      </w:r>
      <w:r w:rsidR="00A365BE"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008A4BC1" w:rsidRPr="00A365BE">
        <w:rPr>
          <w:rFonts w:ascii="Arial" w:hAnsi="Arial" w:cs="Arial"/>
          <w:b/>
          <w:sz w:val="22"/>
          <w:szCs w:val="22"/>
        </w:rPr>
        <w:t xml:space="preserve"> </w:t>
      </w:r>
      <w:r w:rsidR="00A365BE"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sidR="00895670">
        <w:rPr>
          <w:rFonts w:ascii="Arial" w:hAnsi="Arial" w:cs="Arial"/>
          <w:bCs/>
          <w:color w:val="000000"/>
          <w:sz w:val="22"/>
          <w:szCs w:val="22"/>
          <w:shd w:val="clear" w:color="auto" w:fill="FFFFFF"/>
        </w:rPr>
        <w:t>Бекетовский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включены: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D068D5">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51418B" w:rsidRPr="009C0345" w:rsidRDefault="0051418B" w:rsidP="0051418B">
      <w:pPr>
        <w:pStyle w:val="a3"/>
        <w:spacing w:before="0" w:after="0"/>
        <w:ind w:firstLine="566"/>
        <w:contextualSpacing/>
        <w:jc w:val="both"/>
        <w:rPr>
          <w:rFonts w:ascii="Arial" w:hAnsi="Arial" w:cs="Arial"/>
          <w:sz w:val="22"/>
          <w:szCs w:val="22"/>
        </w:rPr>
      </w:pPr>
      <w:r w:rsidRPr="009C0345">
        <w:rPr>
          <w:rFonts w:ascii="Arial" w:hAnsi="Arial" w:cs="Arial"/>
          <w:b/>
          <w:sz w:val="22"/>
          <w:szCs w:val="22"/>
        </w:rPr>
        <w:t>зона «ЖС»</w:t>
      </w:r>
      <w:r w:rsidRPr="009C0345">
        <w:rPr>
          <w:rFonts w:ascii="Arial" w:hAnsi="Arial" w:cs="Arial"/>
          <w:sz w:val="22"/>
          <w:szCs w:val="22"/>
        </w:rPr>
        <w:t xml:space="preserve"> - </w:t>
      </w:r>
      <w:r>
        <w:rPr>
          <w:rFonts w:ascii="Arial" w:hAnsi="Arial" w:cs="Arial"/>
          <w:sz w:val="22"/>
          <w:szCs w:val="22"/>
        </w:rPr>
        <w:t>Среднеэтажная</w:t>
      </w:r>
      <w:r w:rsidRPr="009C0345">
        <w:rPr>
          <w:rFonts w:ascii="Arial" w:hAnsi="Arial" w:cs="Arial"/>
          <w:sz w:val="22"/>
          <w:szCs w:val="22"/>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трех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1418B" w:rsidRPr="00B96DFA" w:rsidRDefault="0051418B" w:rsidP="0051418B">
      <w:pPr>
        <w:autoSpaceDE w:val="0"/>
        <w:autoSpaceDN w:val="0"/>
        <w:adjustRightInd w:val="0"/>
        <w:spacing w:after="0" w:line="240" w:lineRule="auto"/>
        <w:ind w:firstLine="539"/>
        <w:contextualSpacing/>
        <w:jc w:val="both"/>
        <w:rPr>
          <w:rFonts w:ascii="Arial" w:hAnsi="Arial" w:cs="Arial"/>
          <w:lang w:eastAsia="ru-RU"/>
        </w:rPr>
      </w:pPr>
      <w:r w:rsidRPr="00A365BE">
        <w:rPr>
          <w:rFonts w:ascii="Arial" w:hAnsi="Arial" w:cs="Arial"/>
        </w:rPr>
        <w:t>зона «</w:t>
      </w:r>
      <w:r w:rsidRPr="00A365BE">
        <w:rPr>
          <w:rFonts w:ascii="Arial" w:hAnsi="Arial" w:cs="Arial"/>
          <w:b/>
        </w:rPr>
        <w:t>ЖБ»</w:t>
      </w:r>
      <w:r w:rsidRPr="00A365BE">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w:t>
      </w:r>
      <w:r w:rsidRPr="00A365BE">
        <w:rPr>
          <w:rFonts w:ascii="Arial" w:hAnsi="Arial" w:cs="Arial"/>
        </w:rPr>
        <w:lastRenderedPageBreak/>
        <w:t>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общественных территориальных зон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A365BE">
        <w:rPr>
          <w:rFonts w:ascii="Arial" w:hAnsi="Arial" w:cs="Arial"/>
          <w:sz w:val="22"/>
          <w:szCs w:val="22"/>
        </w:rPr>
        <w:lastRenderedPageBreak/>
        <w:t>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 предпринимательской территориальной зоны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lastRenderedPageBreak/>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рекреационных территориальных зон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Pr="00A365BE" w:rsidRDefault="00726F80" w:rsidP="00726F80">
      <w:pPr>
        <w:spacing w:after="0" w:line="240" w:lineRule="auto"/>
        <w:ind w:left="1286" w:hanging="719"/>
        <w:contextualSpacing/>
        <w:jc w:val="both"/>
        <w:rPr>
          <w:rFonts w:ascii="Arial" w:hAnsi="Arial" w:cs="Arial"/>
        </w:rPr>
      </w:pP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sz w:val="22"/>
          <w:szCs w:val="22"/>
        </w:rPr>
        <w:t>В состав территориальных зон производственной деятельности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A365BE">
        <w:rPr>
          <w:rFonts w:ascii="Arial" w:hAnsi="Arial" w:cs="Arial"/>
        </w:rPr>
        <w:lastRenderedPageBreak/>
        <w:t xml:space="preserve">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3F10E7" w:rsidRPr="003F10E7" w:rsidRDefault="003F10E7" w:rsidP="003F10E7">
      <w:pPr>
        <w:spacing w:after="0" w:line="240" w:lineRule="auto"/>
        <w:ind w:firstLine="567"/>
        <w:contextualSpacing/>
        <w:jc w:val="both"/>
        <w:rPr>
          <w:rFonts w:ascii="Arial" w:hAnsi="Arial" w:cs="Arial"/>
        </w:rPr>
      </w:pPr>
      <w:r w:rsidRPr="003F10E7">
        <w:rPr>
          <w:rFonts w:ascii="Arial" w:hAnsi="Arial" w:cs="Arial"/>
        </w:rPr>
        <w:t xml:space="preserve">зона </w:t>
      </w:r>
      <w:r w:rsidRPr="003F10E7">
        <w:rPr>
          <w:rFonts w:ascii="Arial" w:hAnsi="Arial" w:cs="Arial"/>
          <w:b/>
        </w:rPr>
        <w:t>«ТЖД»</w:t>
      </w:r>
      <w:r w:rsidRPr="003F10E7">
        <w:rPr>
          <w:rFonts w:ascii="Arial" w:hAnsi="Arial" w:cs="Arial"/>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3F10E7" w:rsidRPr="00A365BE" w:rsidRDefault="003F10E7"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природно-исторического каркаса включены:</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A365BE">
        <w:rPr>
          <w:rFonts w:ascii="Arial" w:hAnsi="Arial" w:cs="Arial"/>
        </w:rPr>
        <w:lastRenderedPageBreak/>
        <w:t xml:space="preserve">лесах, соблюдение режима использования природных ресурсов в заказниках, сохранение свойств земель, являющихся особо ценными </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лесных зон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в Лесохозяйственным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водных объектов включены:</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«ВО»</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 xml:space="preserve">автомобильных дорог и пешеходных тротуаров в границах населенных </w:t>
      </w:r>
      <w:r w:rsidRPr="00A365BE">
        <w:rPr>
          <w:rFonts w:ascii="Arial" w:hAnsi="Arial" w:cs="Arial"/>
          <w:sz w:val="22"/>
          <w:szCs w:val="22"/>
        </w:rPr>
        <w:lastRenderedPageBreak/>
        <w:t>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специального назначения включены:</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«СО»</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r w:rsidR="00895670">
        <w:rPr>
          <w:rFonts w:ascii="Arial" w:hAnsi="Arial" w:cs="Arial"/>
          <w:sz w:val="22"/>
          <w:szCs w:val="22"/>
        </w:rPr>
        <w:t>Бекетовский</w:t>
      </w:r>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r w:rsidR="00895670">
        <w:rPr>
          <w:rFonts w:ascii="Arial" w:hAnsi="Arial" w:cs="Arial"/>
          <w:sz w:val="22"/>
          <w:szCs w:val="22"/>
        </w:rPr>
        <w:t>Бекетовский</w:t>
      </w:r>
      <w:r w:rsidRPr="00A365BE">
        <w:rPr>
          <w:rFonts w:ascii="Arial" w:hAnsi="Arial" w:cs="Arial"/>
          <w:sz w:val="22"/>
          <w:szCs w:val="22"/>
        </w:rPr>
        <w:t xml:space="preserve"> территориях установлены следующие территориальные зоны:</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lastRenderedPageBreak/>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lastRenderedPageBreak/>
        <w:t xml:space="preserve">Глава 15. Карта градостроительного зонирования сельского поселения </w:t>
      </w:r>
      <w:r w:rsidR="00895670">
        <w:rPr>
          <w:rFonts w:ascii="Arial" w:hAnsi="Arial" w:cs="Arial"/>
          <w:b/>
          <w:sz w:val="22"/>
          <w:szCs w:val="22"/>
        </w:rPr>
        <w:t>Бекетовский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r w:rsidR="00895670">
        <w:rPr>
          <w:rFonts w:ascii="Arial" w:hAnsi="Arial" w:cs="Arial"/>
          <w:b/>
          <w:sz w:val="22"/>
          <w:szCs w:val="22"/>
        </w:rPr>
        <w:t>Бекетовский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r w:rsidR="00895670">
        <w:rPr>
          <w:rFonts w:ascii="Arial" w:hAnsi="Arial" w:cs="Arial"/>
          <w:bCs/>
          <w:color w:val="000000"/>
          <w:shd w:val="clear" w:color="auto" w:fill="FFFFFF"/>
        </w:rPr>
        <w:t>Бекетовский</w:t>
      </w:r>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r w:rsidR="00895670">
        <w:rPr>
          <w:rFonts w:ascii="Arial" w:hAnsi="Arial" w:cs="Arial"/>
          <w:b/>
          <w:sz w:val="22"/>
          <w:szCs w:val="22"/>
        </w:rPr>
        <w:t>Бекетовский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w:t>
      </w:r>
      <w:r w:rsidR="005510EA">
        <w:rPr>
          <w:rFonts w:ascii="Arial" w:hAnsi="Arial" w:cs="Arial"/>
          <w:b/>
          <w:sz w:val="22"/>
          <w:szCs w:val="22"/>
        </w:rPr>
        <w:t>1</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r w:rsidR="00895670">
        <w:rPr>
          <w:rFonts w:ascii="Arial" w:hAnsi="Arial" w:cs="Arial"/>
          <w:b/>
          <w:sz w:val="22"/>
          <w:szCs w:val="22"/>
        </w:rPr>
        <w:t>Бекетовский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895670">
        <w:rPr>
          <w:rFonts w:ascii="Arial" w:hAnsi="Arial" w:cs="Arial"/>
          <w:bCs/>
          <w:color w:val="000000"/>
          <w:sz w:val="22"/>
          <w:szCs w:val="22"/>
          <w:shd w:val="clear" w:color="auto" w:fill="FFFFFF"/>
        </w:rPr>
        <w:t>Бекетовский</w:t>
      </w:r>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5510EA">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водоохранная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отдельно расположенных предприятий,  групп предприятий и спецобъектов;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lastRenderedPageBreak/>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r w:rsidR="00895670">
        <w:rPr>
          <w:rFonts w:ascii="Arial" w:hAnsi="Arial" w:cs="Arial"/>
          <w:b/>
        </w:rPr>
        <w:t>Бекетовский</w:t>
      </w:r>
      <w:r w:rsidR="008A4BC1">
        <w:rPr>
          <w:rFonts w:ascii="Arial" w:hAnsi="Arial" w:cs="Arial"/>
          <w:b/>
        </w:rPr>
        <w:t xml:space="preserve"> сельсовет</w:t>
      </w:r>
      <w:r w:rsidRPr="00A365BE">
        <w:rPr>
          <w:rFonts w:ascii="Arial" w:hAnsi="Arial" w:cs="Arial"/>
          <w:b/>
        </w:rPr>
        <w:t xml:space="preserve"> муниципального района </w:t>
      </w:r>
      <w:r w:rsidR="005510EA">
        <w:rPr>
          <w:rFonts w:ascii="Arial" w:hAnsi="Arial" w:cs="Arial"/>
          <w:b/>
        </w:rPr>
        <w:t>Ермекеевский</w:t>
      </w:r>
      <w:r w:rsidR="008A4BC1">
        <w:rPr>
          <w:rFonts w:ascii="Arial" w:hAnsi="Arial" w:cs="Arial"/>
          <w:b/>
        </w:rPr>
        <w:t xml:space="preserve">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r w:rsidR="00895670">
        <w:rPr>
          <w:rFonts w:ascii="Arial" w:hAnsi="Arial" w:cs="Arial"/>
          <w:bCs/>
          <w:color w:val="000000"/>
          <w:sz w:val="22"/>
          <w:szCs w:val="22"/>
          <w:shd w:val="clear" w:color="auto" w:fill="FFFFFF"/>
        </w:rPr>
        <w:t>Бекетовский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t xml:space="preserve">- карты границ зон с особыми условиями использования территорий сельского поселения </w:t>
      </w:r>
      <w:r w:rsidR="00895670">
        <w:rPr>
          <w:rFonts w:ascii="Arial" w:hAnsi="Arial" w:cs="Arial"/>
          <w:bCs/>
          <w:color w:val="000000"/>
          <w:sz w:val="22"/>
          <w:szCs w:val="22"/>
          <w:shd w:val="clear" w:color="auto" w:fill="FFFFFF"/>
        </w:rPr>
        <w:t>Бекетовский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895670">
        <w:rPr>
          <w:rFonts w:ascii="Arial" w:hAnsi="Arial" w:cs="Arial"/>
          <w:bCs/>
          <w:color w:val="000000"/>
          <w:sz w:val="22"/>
          <w:szCs w:val="22"/>
          <w:shd w:val="clear" w:color="auto" w:fill="FFFFFF"/>
        </w:rPr>
        <w:t>Бекетовский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r w:rsidR="00895670">
        <w:rPr>
          <w:rFonts w:cs="Arial"/>
          <w:b/>
          <w:sz w:val="22"/>
          <w:szCs w:val="22"/>
        </w:rPr>
        <w:t>Бекетовский</w:t>
      </w:r>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Начиная с 2002 года в республике осуществляются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w:t>
      </w:r>
      <w:r w:rsidRPr="00FF5AD6">
        <w:rPr>
          <w:rFonts w:ascii="Arial" w:hAnsi="Arial" w:cs="Arial"/>
          <w:sz w:val="22"/>
          <w:szCs w:val="22"/>
        </w:rPr>
        <w:lastRenderedPageBreak/>
        <w:t>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r w:rsidR="00895670">
        <w:rPr>
          <w:rFonts w:cs="Arial"/>
          <w:b/>
          <w:sz w:val="22"/>
          <w:szCs w:val="22"/>
        </w:rPr>
        <w:t>Бекетовский</w:t>
      </w:r>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EE786B" w:rsidRPr="00A255E0" w:rsidRDefault="00A255E0" w:rsidP="00944A87">
      <w:pPr>
        <w:pStyle w:val="ae"/>
        <w:ind w:firstLine="441"/>
        <w:contextualSpacing/>
        <w:jc w:val="both"/>
        <w:rPr>
          <w:rFonts w:cs="Arial"/>
          <w:sz w:val="20"/>
        </w:rPr>
      </w:pPr>
      <w:r w:rsidRPr="00A255E0">
        <w:rPr>
          <w:rFonts w:cs="Arial"/>
          <w:sz w:val="22"/>
          <w:szCs w:val="22"/>
        </w:rPr>
        <w:t xml:space="preserve">На территории  сельского поселения </w:t>
      </w:r>
      <w:r w:rsidR="00895670">
        <w:rPr>
          <w:rFonts w:cs="Arial"/>
          <w:sz w:val="22"/>
          <w:szCs w:val="22"/>
        </w:rPr>
        <w:t>Бекетовский</w:t>
      </w:r>
      <w:r w:rsidRPr="00A255E0">
        <w:rPr>
          <w:rFonts w:cs="Arial"/>
          <w:sz w:val="22"/>
          <w:szCs w:val="22"/>
        </w:rPr>
        <w:t xml:space="preserve"> сельсовет особо охраняем</w:t>
      </w:r>
      <w:r w:rsidR="00944A87">
        <w:rPr>
          <w:rFonts w:cs="Arial"/>
          <w:sz w:val="22"/>
          <w:szCs w:val="22"/>
        </w:rPr>
        <w:t>ых</w:t>
      </w:r>
      <w:r w:rsidRPr="00A255E0">
        <w:rPr>
          <w:rFonts w:cs="Arial"/>
          <w:sz w:val="22"/>
          <w:szCs w:val="22"/>
        </w:rPr>
        <w:t xml:space="preserve"> </w:t>
      </w:r>
      <w:r>
        <w:rPr>
          <w:rFonts w:cs="Arial"/>
          <w:sz w:val="22"/>
          <w:szCs w:val="22"/>
        </w:rPr>
        <w:t>природн</w:t>
      </w:r>
      <w:r w:rsidR="00944A87">
        <w:rPr>
          <w:rFonts w:cs="Arial"/>
          <w:sz w:val="22"/>
          <w:szCs w:val="22"/>
        </w:rPr>
        <w:t>ых</w:t>
      </w:r>
      <w:r>
        <w:rPr>
          <w:rFonts w:cs="Arial"/>
          <w:sz w:val="22"/>
          <w:szCs w:val="22"/>
        </w:rPr>
        <w:t xml:space="preserve"> </w:t>
      </w:r>
      <w:r w:rsidRPr="00A255E0">
        <w:rPr>
          <w:rFonts w:cs="Arial"/>
          <w:sz w:val="22"/>
          <w:szCs w:val="22"/>
        </w:rPr>
        <w:t>территори</w:t>
      </w:r>
      <w:r w:rsidR="00944A87">
        <w:rPr>
          <w:rFonts w:cs="Arial"/>
          <w:sz w:val="22"/>
          <w:szCs w:val="22"/>
        </w:rPr>
        <w:t>й нет.</w:t>
      </w:r>
      <w:r>
        <w:rPr>
          <w:rFonts w:cs="Arial"/>
          <w:b/>
          <w:sz w:val="22"/>
          <w:szCs w:val="22"/>
        </w:rPr>
        <w:t xml:space="preserve"> </w:t>
      </w:r>
    </w:p>
    <w:p w:rsidR="00A365BE" w:rsidRPr="00A365BE" w:rsidRDefault="00A365BE" w:rsidP="00A365BE">
      <w:pPr>
        <w:pStyle w:val="ae"/>
        <w:ind w:firstLine="441"/>
        <w:contextualSpacing/>
        <w:jc w:val="both"/>
        <w:rPr>
          <w:rFonts w:cs="Arial"/>
          <w:b/>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r w:rsidR="00895670">
        <w:rPr>
          <w:rFonts w:cs="Arial"/>
          <w:b/>
          <w:sz w:val="22"/>
          <w:szCs w:val="22"/>
        </w:rPr>
        <w:t>Бекетовский</w:t>
      </w:r>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637C47" w:rsidTr="00637C47">
        <w:tc>
          <w:tcPr>
            <w:tcW w:w="675"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N п/п</w:t>
            </w:r>
          </w:p>
        </w:tc>
        <w:tc>
          <w:tcPr>
            <w:tcW w:w="2977"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637C47" w:rsidTr="00637C47">
        <w:trPr>
          <w:trHeight w:val="576"/>
        </w:trPr>
        <w:tc>
          <w:tcPr>
            <w:tcW w:w="675" w:type="dxa"/>
          </w:tcPr>
          <w:p w:rsidR="00637C47" w:rsidRDefault="00637C47" w:rsidP="00925E7A"/>
        </w:tc>
        <w:tc>
          <w:tcPr>
            <w:tcW w:w="2977" w:type="dxa"/>
          </w:tcPr>
          <w:p w:rsidR="00637C47" w:rsidRDefault="00637C47" w:rsidP="00925E7A"/>
        </w:tc>
        <w:tc>
          <w:tcPr>
            <w:tcW w:w="2270" w:type="dxa"/>
          </w:tcPr>
          <w:p w:rsidR="00637C47" w:rsidRDefault="00637C47" w:rsidP="00925E7A"/>
        </w:tc>
        <w:tc>
          <w:tcPr>
            <w:tcW w:w="1966" w:type="dxa"/>
          </w:tcPr>
          <w:p w:rsidR="00637C47" w:rsidRDefault="00637C47" w:rsidP="00925E7A"/>
        </w:tc>
        <w:tc>
          <w:tcPr>
            <w:tcW w:w="1966" w:type="dxa"/>
          </w:tcPr>
          <w:p w:rsidR="00637C47" w:rsidRDefault="00637C47" w:rsidP="00925E7A"/>
        </w:tc>
      </w:tr>
    </w:tbl>
    <w:p w:rsidR="00547704" w:rsidRPr="005F6337" w:rsidRDefault="00547704" w:rsidP="00925E7A"/>
    <w:sectPr w:rsidR="00547704" w:rsidRPr="005F6337" w:rsidSect="00B90D63">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063" w:rsidRDefault="00C81063" w:rsidP="00B43197">
      <w:pPr>
        <w:spacing w:after="0" w:line="240" w:lineRule="auto"/>
      </w:pPr>
      <w:r>
        <w:separator/>
      </w:r>
    </w:p>
  </w:endnote>
  <w:endnote w:type="continuationSeparator" w:id="1">
    <w:p w:rsidR="00C81063" w:rsidRDefault="00C81063"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855338">
        <w:pPr>
          <w:pStyle w:val="a7"/>
          <w:jc w:val="right"/>
        </w:pPr>
        <w:fldSimple w:instr=" PAGE   \* MERGEFORMAT ">
          <w:r w:rsidR="00664902">
            <w:rPr>
              <w:noProof/>
            </w:rPr>
            <w:t>104</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063" w:rsidRDefault="00C81063" w:rsidP="00B43197">
      <w:pPr>
        <w:spacing w:after="0" w:line="240" w:lineRule="auto"/>
      </w:pPr>
      <w:r>
        <w:separator/>
      </w:r>
    </w:p>
  </w:footnote>
  <w:footnote w:type="continuationSeparator" w:id="1">
    <w:p w:rsidR="00C81063" w:rsidRDefault="00C81063"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0625"/>
    <w:rsid w:val="00016EBB"/>
    <w:rsid w:val="000317DE"/>
    <w:rsid w:val="0003424C"/>
    <w:rsid w:val="000A35B8"/>
    <w:rsid w:val="000C55C0"/>
    <w:rsid w:val="00107183"/>
    <w:rsid w:val="001B1936"/>
    <w:rsid w:val="00207416"/>
    <w:rsid w:val="002373BA"/>
    <w:rsid w:val="002520E7"/>
    <w:rsid w:val="00252CA1"/>
    <w:rsid w:val="002F60AC"/>
    <w:rsid w:val="003340A3"/>
    <w:rsid w:val="0034625E"/>
    <w:rsid w:val="003520F5"/>
    <w:rsid w:val="00362D38"/>
    <w:rsid w:val="003F10E7"/>
    <w:rsid w:val="003F7CE6"/>
    <w:rsid w:val="004F62B5"/>
    <w:rsid w:val="00502FCC"/>
    <w:rsid w:val="0051418B"/>
    <w:rsid w:val="00547704"/>
    <w:rsid w:val="005510EA"/>
    <w:rsid w:val="00562094"/>
    <w:rsid w:val="00566F91"/>
    <w:rsid w:val="0057465F"/>
    <w:rsid w:val="005A12AE"/>
    <w:rsid w:val="005C20BC"/>
    <w:rsid w:val="005F6337"/>
    <w:rsid w:val="00602302"/>
    <w:rsid w:val="00637C47"/>
    <w:rsid w:val="00664902"/>
    <w:rsid w:val="006658D6"/>
    <w:rsid w:val="0067766B"/>
    <w:rsid w:val="006B73F0"/>
    <w:rsid w:val="00712C3F"/>
    <w:rsid w:val="00717504"/>
    <w:rsid w:val="0071752B"/>
    <w:rsid w:val="00726F80"/>
    <w:rsid w:val="0074537C"/>
    <w:rsid w:val="00745E30"/>
    <w:rsid w:val="0074781D"/>
    <w:rsid w:val="007864D3"/>
    <w:rsid w:val="007C110F"/>
    <w:rsid w:val="007E691B"/>
    <w:rsid w:val="008043E8"/>
    <w:rsid w:val="00832866"/>
    <w:rsid w:val="00836710"/>
    <w:rsid w:val="00855338"/>
    <w:rsid w:val="00895670"/>
    <w:rsid w:val="00895E3E"/>
    <w:rsid w:val="008A4BC1"/>
    <w:rsid w:val="008D6969"/>
    <w:rsid w:val="008F4C15"/>
    <w:rsid w:val="00923672"/>
    <w:rsid w:val="00925E7A"/>
    <w:rsid w:val="00944A87"/>
    <w:rsid w:val="00990137"/>
    <w:rsid w:val="009A78F8"/>
    <w:rsid w:val="00A0327C"/>
    <w:rsid w:val="00A255E0"/>
    <w:rsid w:val="00A365BE"/>
    <w:rsid w:val="00AB2A87"/>
    <w:rsid w:val="00AC4DF6"/>
    <w:rsid w:val="00B2439D"/>
    <w:rsid w:val="00B43197"/>
    <w:rsid w:val="00B70D53"/>
    <w:rsid w:val="00B90D63"/>
    <w:rsid w:val="00B91461"/>
    <w:rsid w:val="00BD6577"/>
    <w:rsid w:val="00C12E73"/>
    <w:rsid w:val="00C36216"/>
    <w:rsid w:val="00C81063"/>
    <w:rsid w:val="00D068D5"/>
    <w:rsid w:val="00D10D77"/>
    <w:rsid w:val="00D55498"/>
    <w:rsid w:val="00D66D4C"/>
    <w:rsid w:val="00D85F6B"/>
    <w:rsid w:val="00D91EC5"/>
    <w:rsid w:val="00DA57D0"/>
    <w:rsid w:val="00DB52B8"/>
    <w:rsid w:val="00DC7B7F"/>
    <w:rsid w:val="00DD2B4F"/>
    <w:rsid w:val="00E331C8"/>
    <w:rsid w:val="00EC7454"/>
    <w:rsid w:val="00EE786B"/>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63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C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6511-E678-484A-9868-29AF1E3B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6125</Words>
  <Characters>34919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27</cp:revision>
  <cp:lastPrinted>2019-01-22T11:11:00Z</cp:lastPrinted>
  <dcterms:created xsi:type="dcterms:W3CDTF">2018-04-17T10:16:00Z</dcterms:created>
  <dcterms:modified xsi:type="dcterms:W3CDTF">2019-01-22T11:11:00Z</dcterms:modified>
</cp:coreProperties>
</file>