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89" w:rsidRDefault="00965089" w:rsidP="00965089">
      <w:pPr>
        <w:tabs>
          <w:tab w:val="left" w:pos="-142"/>
        </w:tabs>
        <w:ind w:left="-142"/>
        <w:jc w:val="both"/>
        <w:rPr>
          <w:noProof/>
          <w:sz w:val="28"/>
          <w:szCs w:val="28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C837416" wp14:editId="2A092F4F">
            <wp:extent cx="6210300" cy="2314575"/>
            <wp:effectExtent l="0" t="0" r="0" b="0"/>
            <wp:docPr id="18" name="Рисунок 18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89" w:rsidRDefault="00965089" w:rsidP="00965089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965089" w:rsidRPr="00FD42E4" w:rsidRDefault="00965089" w:rsidP="00965089">
      <w:pPr>
        <w:ind w:left="-851" w:firstLine="851"/>
      </w:pPr>
      <w:r>
        <w:t xml:space="preserve">  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6.7      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965089" w:rsidRDefault="00965089" w:rsidP="00965089">
      <w:pPr>
        <w:tabs>
          <w:tab w:val="left" w:pos="2430"/>
        </w:tabs>
        <w:spacing w:before="20"/>
        <w:ind w:firstLine="740"/>
      </w:pPr>
    </w:p>
    <w:p w:rsidR="00965089" w:rsidRDefault="00965089" w:rsidP="00965089">
      <w:pPr>
        <w:tabs>
          <w:tab w:val="left" w:pos="2430"/>
        </w:tabs>
        <w:spacing w:before="20"/>
        <w:ind w:firstLine="740"/>
      </w:pPr>
    </w:p>
    <w:p w:rsidR="00965089" w:rsidRDefault="00965089" w:rsidP="00965089">
      <w:pPr>
        <w:pStyle w:val="3"/>
        <w:tabs>
          <w:tab w:val="left" w:pos="43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порядке определения размера и внесения арендной платы </w:t>
      </w:r>
    </w:p>
    <w:p w:rsidR="00965089" w:rsidRDefault="00965089" w:rsidP="00965089">
      <w:pPr>
        <w:pStyle w:val="3"/>
        <w:tabs>
          <w:tab w:val="left" w:pos="43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за земли, находящиеся в муниципальной собственности сельского поселения </w:t>
      </w:r>
      <w:proofErr w:type="spellStart"/>
      <w:r>
        <w:rPr>
          <w:b/>
          <w:szCs w:val="28"/>
        </w:rPr>
        <w:t>Бекетовский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Ермекеевский</w:t>
      </w:r>
      <w:proofErr w:type="spellEnd"/>
      <w:r>
        <w:rPr>
          <w:b/>
          <w:szCs w:val="28"/>
        </w:rPr>
        <w:t xml:space="preserve"> район Республики Башкортостан, и земли до разграничения государственной собственности на землю на 2016 год</w:t>
      </w:r>
    </w:p>
    <w:p w:rsidR="00965089" w:rsidRDefault="00965089" w:rsidP="00965089">
      <w:pPr>
        <w:rPr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 Федеральным законом «О введении  в действие Земельного кодекса Российской Федерации», Законом Республики Башкортостан </w:t>
      </w:r>
      <w:r>
        <w:rPr>
          <w:color w:val="000000"/>
          <w:sz w:val="28"/>
          <w:szCs w:val="28"/>
        </w:rPr>
        <w:t>от 05.01.2004 N 59-з</w:t>
      </w:r>
      <w:r>
        <w:rPr>
          <w:sz w:val="28"/>
          <w:szCs w:val="28"/>
        </w:rPr>
        <w:t xml:space="preserve"> «О регулировании земельных отношений в Республике Башкортостан», и постановлением Правительства Республики Башкортостан </w:t>
      </w:r>
      <w:r>
        <w:rPr>
          <w:bCs/>
          <w:sz w:val="28"/>
          <w:szCs w:val="28"/>
        </w:rPr>
        <w:t>от 22 декабря 2009 года № 480</w:t>
      </w:r>
      <w:r>
        <w:rPr>
          <w:sz w:val="28"/>
          <w:szCs w:val="28"/>
        </w:rPr>
        <w:t xml:space="preserve"> «Об определении размера  арендной платы за земли, находящиеся в государственной собственности Республики Башкортостан, и земли, государственная собственность на</w:t>
      </w:r>
      <w:proofErr w:type="gramEnd"/>
      <w:r>
        <w:rPr>
          <w:sz w:val="28"/>
          <w:szCs w:val="28"/>
        </w:rPr>
        <w:t xml:space="preserve"> которые не разграничена» в целях </w:t>
      </w:r>
      <w:proofErr w:type="gramStart"/>
      <w:r>
        <w:rPr>
          <w:sz w:val="28"/>
          <w:szCs w:val="28"/>
        </w:rPr>
        <w:t>реализации принципа платности использования земли</w:t>
      </w:r>
      <w:proofErr w:type="gramEnd"/>
      <w:r>
        <w:rPr>
          <w:sz w:val="28"/>
          <w:szCs w:val="28"/>
        </w:rPr>
        <w:t xml:space="preserve"> и эффективного управления земельными ресурсами,</w:t>
      </w:r>
      <w:r>
        <w:rPr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РЕШИЛ: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определения размера и внесения арендной платы за земли, находящиеся в муниципальной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земли, государственная собственность на которые не разграничена 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1);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средние ставки арендной платы за земли, находящиеся в муниципальной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земли, государственная собственность на которые не разграничена (приложение 2);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коэффициенты, учитывающие категорию арендаторов и вид использования земельных участков (приложение 3);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коэффициенты, учитывающие местоположение земельного участка (приложение 4);</w:t>
      </w:r>
    </w:p>
    <w:p w:rsidR="00965089" w:rsidRDefault="00965089" w:rsidP="00965089">
      <w:pPr>
        <w:ind w:left="-180" w:right="-18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ставки арендной платы за земли, находящиеся в </w:t>
      </w:r>
      <w:r>
        <w:rPr>
          <w:sz w:val="28"/>
          <w:szCs w:val="28"/>
        </w:rPr>
        <w:t xml:space="preserve">муниципальной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, и земли до разграничения государственной </w:t>
      </w:r>
      <w:r>
        <w:rPr>
          <w:bCs/>
          <w:sz w:val="28"/>
          <w:szCs w:val="28"/>
        </w:rPr>
        <w:lastRenderedPageBreak/>
        <w:t>собственности на землю в процентах от кадастровой стоимости земельных участков (приложение 5).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Установить, что размер арендной платы за земли, находящиеся в муниципальной собственности Республики Башкортостан, и земли, государственная собственность на которые не разграничена, если иное не установлено федеральными законами, определяется одним из следующих способов: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 основании кадастровой стоимости земельных участков;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торгов (конкурсов, аукционов);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) на основании рыночной стоимости земельных участков, определяемой в соответствии с </w:t>
      </w:r>
      <w:hyperlink r:id="rId6" w:history="1">
        <w:r>
          <w:rPr>
            <w:rStyle w:val="a3"/>
            <w:rFonts w:eastAsiaTheme="majorEastAsia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по договорам аренды земельных участков, заключенным до 1 января 2009 года, расчет размера арендной платы </w:t>
      </w:r>
      <w:r w:rsidRPr="00E8278F">
        <w:rPr>
          <w:color w:val="000000" w:themeColor="text1"/>
          <w:sz w:val="28"/>
          <w:szCs w:val="28"/>
        </w:rPr>
        <w:t>на 2016 год</w:t>
      </w:r>
      <w:r>
        <w:rPr>
          <w:sz w:val="28"/>
          <w:szCs w:val="28"/>
        </w:rPr>
        <w:t xml:space="preserve"> за земельные участки осуществляется на территории  сельского поселения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</w:t>
      </w:r>
      <w:proofErr w:type="gramEnd"/>
      <w:r>
        <w:rPr>
          <w:sz w:val="28"/>
          <w:szCs w:val="28"/>
        </w:rPr>
        <w:t xml:space="preserve">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965089" w:rsidRDefault="00965089" w:rsidP="00965089">
      <w:pPr>
        <w:shd w:val="clear" w:color="auto" w:fill="FFFFFF"/>
        <w:ind w:left="-180" w:right="-180" w:firstLine="720"/>
        <w:jc w:val="both"/>
        <w:rPr>
          <w:sz w:val="30"/>
          <w:szCs w:val="20"/>
        </w:rPr>
      </w:pPr>
      <w:r>
        <w:rPr>
          <w:color w:val="000000"/>
          <w:spacing w:val="1"/>
          <w:sz w:val="28"/>
          <w:szCs w:val="28"/>
        </w:rPr>
        <w:t xml:space="preserve">6. Настоящее решение вступает в силу </w:t>
      </w:r>
      <w:r>
        <w:rPr>
          <w:color w:val="000000"/>
          <w:spacing w:val="1"/>
          <w:sz w:val="28"/>
          <w:szCs w:val="28"/>
          <w:lang w:val="en-US"/>
        </w:rPr>
        <w:t>c</w:t>
      </w:r>
      <w:r>
        <w:rPr>
          <w:color w:val="000000"/>
          <w:spacing w:val="1"/>
          <w:sz w:val="28"/>
          <w:szCs w:val="28"/>
        </w:rPr>
        <w:t xml:space="preserve"> 1 января 2016 года.</w:t>
      </w:r>
      <w:r>
        <w:tab/>
        <w:t xml:space="preserve">     </w:t>
      </w:r>
    </w:p>
    <w:p w:rsidR="00965089" w:rsidRDefault="00965089" w:rsidP="00965089">
      <w:pPr>
        <w:pStyle w:val="ConsTitle"/>
        <w:tabs>
          <w:tab w:val="left" w:pos="9923"/>
        </w:tabs>
        <w:ind w:left="284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данного решения  возложить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постоянную</w:t>
      </w:r>
      <w:proofErr w:type="gramEnd"/>
    </w:p>
    <w:p w:rsidR="00965089" w:rsidRDefault="00965089" w:rsidP="00965089">
      <w:pPr>
        <w:pStyle w:val="ConsTitle"/>
        <w:tabs>
          <w:tab w:val="left" w:pos="9923"/>
        </w:tabs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комиссию по развитию предпринимательства, земельным вопросам, благоустройству и экологии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965089" w:rsidRDefault="00965089" w:rsidP="00965089">
      <w:pPr>
        <w:tabs>
          <w:tab w:val="left" w:pos="2430"/>
        </w:tabs>
        <w:spacing w:before="20"/>
        <w:ind w:firstLine="740"/>
      </w:pPr>
      <w:r>
        <w:tab/>
      </w:r>
    </w:p>
    <w:p w:rsidR="00965089" w:rsidRDefault="00965089" w:rsidP="00965089">
      <w:pPr>
        <w:tabs>
          <w:tab w:val="left" w:pos="2430"/>
        </w:tabs>
        <w:spacing w:before="20"/>
        <w:ind w:firstLine="7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5089" w:rsidRDefault="00965089" w:rsidP="00965089">
      <w:pPr>
        <w:tabs>
          <w:tab w:val="left" w:pos="2430"/>
        </w:tabs>
        <w:spacing w:before="20"/>
        <w:ind w:firstLine="740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965089" w:rsidRDefault="00965089" w:rsidP="00965089">
      <w:pPr>
        <w:tabs>
          <w:tab w:val="left" w:pos="2430"/>
        </w:tabs>
        <w:spacing w:before="20"/>
        <w:ind w:firstLine="740"/>
      </w:pPr>
    </w:p>
    <w:p w:rsidR="00965089" w:rsidRDefault="00965089" w:rsidP="00965089">
      <w:pPr>
        <w:tabs>
          <w:tab w:val="left" w:pos="2430"/>
        </w:tabs>
        <w:spacing w:before="20"/>
        <w:ind w:firstLine="740"/>
      </w:pPr>
    </w:p>
    <w:p w:rsidR="00965089" w:rsidRDefault="00965089" w:rsidP="00965089">
      <w:pPr>
        <w:pStyle w:val="3"/>
        <w:tabs>
          <w:tab w:val="left" w:pos="-180"/>
        </w:tabs>
        <w:ind w:left="-180" w:firstLine="0"/>
        <w:jc w:val="both"/>
        <w:rPr>
          <w:szCs w:val="28"/>
        </w:rPr>
      </w:pPr>
    </w:p>
    <w:p w:rsidR="00965089" w:rsidRDefault="00965089" w:rsidP="00965089">
      <w:pPr>
        <w:shd w:val="clear" w:color="auto" w:fill="FFFFFF"/>
        <w:ind w:left="-180" w:right="-180" w:firstLine="72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965089" w:rsidRDefault="00965089" w:rsidP="00965089">
      <w:pPr>
        <w:pStyle w:val="ConsPlusTitle"/>
        <w:keepNext/>
        <w:widowControl/>
        <w:jc w:val="right"/>
        <w:rPr>
          <w:b w:val="0"/>
        </w:rPr>
      </w:pPr>
      <w:r>
        <w:rPr>
          <w:b w:val="0"/>
        </w:rPr>
        <w:lastRenderedPageBreak/>
        <w:t>Приложение 1</w:t>
      </w:r>
    </w:p>
    <w:p w:rsidR="00965089" w:rsidRDefault="00965089" w:rsidP="00965089">
      <w:pPr>
        <w:pStyle w:val="ConsPlusTitle"/>
        <w:keepNext/>
        <w:widowControl/>
        <w:jc w:val="center"/>
        <w:rPr>
          <w:b w:val="0"/>
        </w:rPr>
      </w:pPr>
    </w:p>
    <w:p w:rsidR="00965089" w:rsidRDefault="00965089" w:rsidP="00965089">
      <w:pPr>
        <w:pStyle w:val="ConsPlusTitle"/>
        <w:keepNext/>
        <w:widowControl/>
        <w:jc w:val="center"/>
        <w:rPr>
          <w:b w:val="0"/>
        </w:rPr>
      </w:pPr>
      <w:r>
        <w:rPr>
          <w:b w:val="0"/>
        </w:rPr>
        <w:t>ПРАВИЛА</w:t>
      </w:r>
    </w:p>
    <w:p w:rsidR="00965089" w:rsidRDefault="00965089" w:rsidP="00965089">
      <w:pPr>
        <w:pStyle w:val="ConsPlusTitle"/>
        <w:keepNext/>
        <w:widowControl/>
        <w:jc w:val="center"/>
        <w:rPr>
          <w:b w:val="0"/>
        </w:rPr>
      </w:pPr>
      <w:r>
        <w:rPr>
          <w:b w:val="0"/>
        </w:rPr>
        <w:t xml:space="preserve">определения размера и внесения арендной платы за земли, </w:t>
      </w:r>
    </w:p>
    <w:p w:rsidR="00965089" w:rsidRDefault="00965089" w:rsidP="00965089">
      <w:pPr>
        <w:pStyle w:val="ConsPlusTitle"/>
        <w:keepNext/>
        <w:widowControl/>
        <w:jc w:val="center"/>
        <w:rPr>
          <w:b w:val="0"/>
        </w:rPr>
      </w:pPr>
      <w:r>
        <w:rPr>
          <w:b w:val="0"/>
        </w:rPr>
        <w:t xml:space="preserve">находящиеся в муниципальной собственности </w:t>
      </w:r>
      <w:r>
        <w:rPr>
          <w:b w:val="0"/>
          <w:color w:val="000000"/>
        </w:rPr>
        <w:t xml:space="preserve">сельского поселения </w:t>
      </w:r>
      <w:proofErr w:type="spellStart"/>
      <w:r>
        <w:rPr>
          <w:b w:val="0"/>
          <w:color w:val="000000"/>
        </w:rPr>
        <w:t>Бекетовский</w:t>
      </w:r>
      <w:proofErr w:type="spellEnd"/>
      <w:r>
        <w:rPr>
          <w:b w:val="0"/>
          <w:color w:val="000000"/>
        </w:rPr>
        <w:t xml:space="preserve"> сельсовет</w:t>
      </w:r>
      <w:r>
        <w:rPr>
          <w:b w:val="0"/>
        </w:rPr>
        <w:t xml:space="preserve"> муниципального района </w:t>
      </w:r>
      <w:proofErr w:type="spellStart"/>
      <w:r>
        <w:rPr>
          <w:b w:val="0"/>
        </w:rPr>
        <w:t>Ермекеевский</w:t>
      </w:r>
      <w:proofErr w:type="spellEnd"/>
      <w:r>
        <w:rPr>
          <w:b w:val="0"/>
        </w:rPr>
        <w:t xml:space="preserve"> район Республики Башкортостан, и земли, государственная собственность на которые не разграничена </w:t>
      </w:r>
    </w:p>
    <w:p w:rsidR="00965089" w:rsidRDefault="00965089" w:rsidP="0096508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089" w:rsidRDefault="00965089" w:rsidP="00965089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65089" w:rsidRDefault="00965089" w:rsidP="0096508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разработаны в соответствии с Земельным кодексом Российской Федерации, 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Башкортостан, и земли, государственная собственность на которые не разграничена (далее - земельные участки), предоставляемые в аренду юридическим и физическим лицам.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Размер арендной платы за земли, находящиеся в муниципальной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земли, государственная собственность на которые не разграничена, в расчете на год (далее - арендная плата) определяется следующим образом: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основании кадастровой стоимости земельных участков, рассчитываемой по формуле: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 = П х Кс х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/100, 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 - размер арендной платы;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Кс - удельный показатель кадастровой стоимости земельного участка;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ставка арендной платы в процентах от кадастровой стоимости земельного участка.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б) по договорам аренды земельных участков, заключенным до 1 января 2009 года, расчет размера арендной платы на 2016 год за земельные участки осуществляется на основании средней ставки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и рассчитывается по следующей</w:t>
      </w:r>
      <w:proofErr w:type="gramEnd"/>
      <w:r>
        <w:rPr>
          <w:sz w:val="28"/>
          <w:szCs w:val="28"/>
        </w:rPr>
        <w:t xml:space="preserve"> формуле: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 = П x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x Ки, 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 - размер арендной платы;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базовая ставка арендной платы;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 = Сап x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, 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Сап - средняя ставка арендной платы за год;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Арендная плата за использование земельных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и которые ранее были предоставлены юридическим лицам на праве постоянного (</w:t>
      </w:r>
      <w:proofErr w:type="gramStart"/>
      <w:r>
        <w:rPr>
          <w:sz w:val="28"/>
          <w:szCs w:val="28"/>
        </w:rPr>
        <w:t xml:space="preserve">бессрочного) </w:t>
      </w:r>
      <w:proofErr w:type="gramEnd"/>
      <w:r>
        <w:rPr>
          <w:sz w:val="28"/>
          <w:szCs w:val="28"/>
        </w:rPr>
        <w:t>пользования, определяется в размере следующих ставок: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двух процентов кадастровой стоимости арендуемых земельных участков;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истечении 3 лет со дня предоставления 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>
        <w:rPr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</w:t>
      </w:r>
      <w:r>
        <w:rPr>
          <w:sz w:val="28"/>
          <w:szCs w:val="28"/>
        </w:rPr>
        <w:lastRenderedPageBreak/>
        <w:t>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2 настоящих Правил.</w:t>
      </w:r>
    </w:p>
    <w:p w:rsidR="00965089" w:rsidRDefault="00965089" w:rsidP="0096508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Расчет размера арендной платы за использование земельного участка на год определяется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>
        <w:rPr>
          <w:sz w:val="28"/>
          <w:szCs w:val="28"/>
        </w:rPr>
        <w:t xml:space="preserve">При этом расчеты размера годовой арендной платы осуществляются арендатором самостоятельно по ставкам арендной платы за землю, установленным соответствующими решениями Правительства Республики Башкортостан, решением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район, и подлежат обязательному согласованию с арендодателем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</w:t>
      </w:r>
      <w:proofErr w:type="gramEnd"/>
      <w:r>
        <w:rPr>
          <w:sz w:val="28"/>
          <w:szCs w:val="28"/>
        </w:rPr>
        <w:t>) к договору аренды земельного участка.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Условия изменения размера арендной платы за землю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Пересмотр размера арендной платы осуществляется                         арендодателем в одностороннем порядке по следующим основаниям: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кадастровой стоимости земельного участка;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нормативных правовых актов Российской Федерации, Республики Башкортостан и органов местного самоуправления, устанавливающих </w:t>
      </w:r>
      <w:r>
        <w:rPr>
          <w:sz w:val="28"/>
          <w:szCs w:val="28"/>
        </w:rPr>
        <w:lastRenderedPageBreak/>
        <w:t xml:space="preserve">размеры арендной платы за землю, условия и порядок ее перечисления или исчисления. </w:t>
      </w:r>
    </w:p>
    <w:p w:rsidR="00965089" w:rsidRDefault="00965089" w:rsidP="00965089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965089" w:rsidRDefault="00965089" w:rsidP="00965089">
      <w:pPr>
        <w:pStyle w:val="ConsPlus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965089" w:rsidRDefault="00965089" w:rsidP="00965089">
      <w:pPr>
        <w:pStyle w:val="ConsPlus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965089" w:rsidRDefault="00965089" w:rsidP="00965089">
      <w:pPr>
        <w:pStyle w:val="ConsPlus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в) произошло изменение кадастровой стоимости земельного участка.</w:t>
      </w:r>
    </w:p>
    <w:p w:rsidR="00965089" w:rsidRDefault="00965089" w:rsidP="00965089">
      <w:pPr>
        <w:pStyle w:val="ConsPlus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органом местного самоуправления, регулирующими исчисление размера арендной платы.</w:t>
      </w:r>
    </w:p>
    <w:p w:rsidR="00965089" w:rsidRDefault="00965089" w:rsidP="00965089">
      <w:pPr>
        <w:pStyle w:val="ConsPlusNormal"/>
        <w:keepNext/>
        <w:jc w:val="both"/>
        <w:rPr>
          <w:sz w:val="28"/>
          <w:szCs w:val="28"/>
        </w:rPr>
      </w:pPr>
    </w:p>
    <w:p w:rsidR="00965089" w:rsidRDefault="00965089" w:rsidP="00965089">
      <w:pPr>
        <w:pStyle w:val="ConsPlusNormal"/>
        <w:keepNext/>
        <w:jc w:val="both"/>
        <w:rPr>
          <w:sz w:val="28"/>
          <w:szCs w:val="28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pStyle w:val="ConsPlusNormal"/>
        <w:keepNext/>
        <w:jc w:val="both"/>
        <w:rPr>
          <w:sz w:val="30"/>
          <w:szCs w:val="30"/>
        </w:rPr>
      </w:pPr>
    </w:p>
    <w:p w:rsidR="00965089" w:rsidRDefault="00965089" w:rsidP="00965089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965089" w:rsidRDefault="00965089" w:rsidP="00965089">
      <w:pPr>
        <w:ind w:firstLine="540"/>
        <w:jc w:val="right"/>
        <w:rPr>
          <w:bCs/>
          <w:sz w:val="28"/>
          <w:szCs w:val="28"/>
        </w:rPr>
      </w:pPr>
    </w:p>
    <w:p w:rsidR="00965089" w:rsidRPr="00572717" w:rsidRDefault="00965089" w:rsidP="00965089">
      <w:pPr>
        <w:ind w:firstLine="540"/>
        <w:jc w:val="center"/>
        <w:rPr>
          <w:sz w:val="28"/>
          <w:szCs w:val="28"/>
        </w:rPr>
      </w:pPr>
      <w:r w:rsidRPr="00572717">
        <w:rPr>
          <w:sz w:val="28"/>
          <w:szCs w:val="28"/>
        </w:rPr>
        <w:t xml:space="preserve">Средние ставки арендной платы за земли, </w:t>
      </w:r>
    </w:p>
    <w:p w:rsidR="00965089" w:rsidRPr="00572717" w:rsidRDefault="00965089" w:rsidP="00965089">
      <w:pPr>
        <w:ind w:firstLine="540"/>
        <w:jc w:val="center"/>
        <w:rPr>
          <w:bCs/>
          <w:sz w:val="28"/>
          <w:szCs w:val="28"/>
        </w:rPr>
      </w:pPr>
      <w:r w:rsidRPr="00572717">
        <w:rPr>
          <w:sz w:val="28"/>
          <w:szCs w:val="28"/>
        </w:rPr>
        <w:t xml:space="preserve">находящиеся в муниципальной собственности муниципального района </w:t>
      </w:r>
      <w:proofErr w:type="spellStart"/>
      <w:r w:rsidRPr="00572717">
        <w:rPr>
          <w:sz w:val="28"/>
          <w:szCs w:val="28"/>
        </w:rPr>
        <w:t>Ермекеевский</w:t>
      </w:r>
      <w:proofErr w:type="spellEnd"/>
      <w:r w:rsidRPr="00572717">
        <w:rPr>
          <w:sz w:val="28"/>
          <w:szCs w:val="28"/>
        </w:rPr>
        <w:t xml:space="preserve"> район Республики Башкортостан, и земли, государственная собственность на которые не разграничена</w:t>
      </w:r>
    </w:p>
    <w:p w:rsidR="00965089" w:rsidRDefault="00965089" w:rsidP="00965089">
      <w:pPr>
        <w:ind w:firstLine="540"/>
        <w:jc w:val="right"/>
        <w:rPr>
          <w:bCs/>
          <w:sz w:val="28"/>
          <w:szCs w:val="28"/>
        </w:rPr>
      </w:pPr>
    </w:p>
    <w:p w:rsidR="00965089" w:rsidRDefault="00965089" w:rsidP="00965089">
      <w:pPr>
        <w:ind w:left="-18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ставка арендной платы за земли сельскохозяйственного назначения, находящиеся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муниципальном районе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– 53,99 руб./га;         </w:t>
      </w:r>
    </w:p>
    <w:p w:rsidR="00965089" w:rsidRDefault="00965089" w:rsidP="00965089">
      <w:pPr>
        <w:ind w:left="-18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ставки арендной платы за земельные участки в границах населенных пунктов и вне их черты:</w:t>
      </w:r>
    </w:p>
    <w:p w:rsidR="00965089" w:rsidRDefault="00965089" w:rsidP="00965089">
      <w:pPr>
        <w:ind w:firstLine="540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56"/>
        <w:gridCol w:w="2464"/>
        <w:gridCol w:w="2700"/>
        <w:gridCol w:w="1980"/>
      </w:tblGrid>
      <w:tr w:rsidR="00965089" w:rsidTr="008270B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2"/>
                <w:szCs w:val="22"/>
              </w:rPr>
            </w:pP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ind w:left="180" w:hanging="4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(категория) земель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ставка арендной платы </w:t>
            </w:r>
          </w:p>
        </w:tc>
      </w:tr>
      <w:tr w:rsidR="00965089" w:rsidTr="008270B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5089" w:rsidTr="008270B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назначения, земли поселений - в границах сельских населенных пунктов и вне их черты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</w:t>
            </w: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Личное подсобное хозяйство, садоводство, огородничество, животноводство, сенокошение, выпас скота; </w:t>
            </w:r>
            <w:proofErr w:type="spellStart"/>
            <w:r>
              <w:rPr>
                <w:sz w:val="22"/>
                <w:szCs w:val="22"/>
              </w:rPr>
              <w:t>сельскохозяйствен-ное</w:t>
            </w:r>
            <w:proofErr w:type="spellEnd"/>
            <w:r>
              <w:rPr>
                <w:sz w:val="22"/>
                <w:szCs w:val="22"/>
              </w:rPr>
              <w:t xml:space="preserve"> производство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61,13 руб./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5089" w:rsidTr="008270B9">
        <w:trPr>
          <w:trHeight w:val="8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поселений – </w:t>
            </w:r>
            <w:r>
              <w:rPr>
                <w:sz w:val="22"/>
                <w:szCs w:val="22"/>
              </w:rPr>
              <w:br/>
              <w:t>в границах сельских населенных пунктов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Граждане, юридические 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67,15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965089" w:rsidTr="008270B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промышленности, транспорта, связи </w:t>
            </w: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 – вне черты  населенных пунктов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юридические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Промышленная деятельность (включая карьеры и территории, нарушенные производственной деятельностью), транспорт, </w:t>
            </w: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связь, </w:t>
            </w:r>
            <w:proofErr w:type="spellStart"/>
            <w:r>
              <w:rPr>
                <w:sz w:val="22"/>
                <w:szCs w:val="22"/>
              </w:rPr>
              <w:t>радиотелевещание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93,71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5089" w:rsidRDefault="00965089" w:rsidP="008270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65089" w:rsidRDefault="00965089" w:rsidP="0096508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89" w:rsidRDefault="00965089" w:rsidP="0096508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2700"/>
        <w:gridCol w:w="1980"/>
      </w:tblGrid>
      <w:tr w:rsidR="00965089" w:rsidTr="008270B9">
        <w:trPr>
          <w:cantSplit/>
          <w:trHeight w:val="34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5089" w:rsidTr="008270B9">
        <w:trPr>
          <w:cantSplit/>
          <w:trHeight w:val="15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граждане,       </w:t>
            </w:r>
            <w:r>
              <w:rPr>
                <w:sz w:val="22"/>
                <w:szCs w:val="22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баз отдыха, пансионатов, туристических баз </w:t>
            </w:r>
          </w:p>
          <w:p w:rsidR="00965089" w:rsidRDefault="00965089" w:rsidP="008270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других рекреационных объектов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93,71 копеек за 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</w:tbl>
    <w:p w:rsidR="00965089" w:rsidRDefault="00965089" w:rsidP="0096508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89" w:rsidRDefault="00965089" w:rsidP="0096508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89" w:rsidRDefault="00965089" w:rsidP="0096508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89" w:rsidRDefault="00965089" w:rsidP="0096508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089" w:rsidRDefault="00965089" w:rsidP="00965089">
      <w:pPr>
        <w:snapToGri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</w:t>
      </w:r>
    </w:p>
    <w:p w:rsidR="00965089" w:rsidRPr="00572717" w:rsidRDefault="00965089" w:rsidP="0096508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3</w:t>
      </w:r>
    </w:p>
    <w:p w:rsidR="00965089" w:rsidRPr="00572717" w:rsidRDefault="00965089" w:rsidP="00965089">
      <w:pPr>
        <w:snapToGrid w:val="0"/>
        <w:ind w:firstLine="708"/>
        <w:jc w:val="both"/>
        <w:rPr>
          <w:sz w:val="28"/>
          <w:szCs w:val="28"/>
        </w:rPr>
      </w:pPr>
    </w:p>
    <w:p w:rsidR="00965089" w:rsidRPr="00572717" w:rsidRDefault="00965089" w:rsidP="00965089">
      <w:pPr>
        <w:snapToGrid w:val="0"/>
        <w:ind w:firstLine="708"/>
        <w:jc w:val="center"/>
        <w:rPr>
          <w:sz w:val="28"/>
          <w:szCs w:val="28"/>
        </w:rPr>
      </w:pPr>
      <w:r w:rsidRPr="00572717">
        <w:rPr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965089" w:rsidRPr="00850AFC" w:rsidRDefault="00965089" w:rsidP="00965089">
      <w:pPr>
        <w:pStyle w:val="ConsNormal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65089" w:rsidRDefault="00965089" w:rsidP="00965089">
      <w:pPr>
        <w:autoSpaceDE w:val="0"/>
        <w:autoSpaceDN w:val="0"/>
        <w:adjustRightInd w:val="0"/>
        <w:ind w:firstLine="54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                        </w:t>
      </w: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39"/>
        <w:gridCol w:w="93"/>
        <w:gridCol w:w="1844"/>
        <w:gridCol w:w="1799"/>
        <w:gridCol w:w="1260"/>
      </w:tblGrid>
      <w:tr w:rsidR="00965089" w:rsidTr="008270B9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965089" w:rsidTr="008270B9">
        <w:trPr>
          <w:cantSplit/>
          <w:trHeight w:val="360"/>
        </w:trPr>
        <w:tc>
          <w:tcPr>
            <w:tcW w:w="10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9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965089" w:rsidTr="008270B9">
        <w:trPr>
          <w:cantSplit/>
          <w:trHeight w:val="1080"/>
        </w:trPr>
        <w:tc>
          <w:tcPr>
            <w:tcW w:w="10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9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жилой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/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47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Жилищное хозяйство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 юридических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Образование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516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089" w:rsidTr="008270B9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9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520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Культура, искусство и спорт</w:t>
            </w:r>
          </w:p>
        </w:tc>
      </w:tr>
      <w:tr w:rsidR="00965089" w:rsidTr="008270B9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клубы, дома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Дворцы спорта,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54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Бытовое обслуживание</w:t>
            </w:r>
          </w:p>
        </w:tc>
      </w:tr>
      <w:tr w:rsidR="00965089" w:rsidTr="008270B9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9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Кредитно-финансовые учреждения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компании,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5089" w:rsidTr="008270B9">
        <w:trPr>
          <w:cantSplit/>
          <w:trHeight w:val="472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Фонды и объединения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Учреждения</w:t>
            </w:r>
          </w:p>
        </w:tc>
      </w:tr>
      <w:tr w:rsidR="00965089" w:rsidTr="008270B9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495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Отдых, развлечения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отдыха, кемпинги, стационарные и палаточные туристско-оздоровительные лагеря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089" w:rsidTr="008270B9">
        <w:trPr>
          <w:cantSplit/>
          <w:trHeight w:val="621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Коммунальное хозяйство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(площадь – менее 10 га)    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(площадь – более 10 га)     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612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Дорожное хозяйство</w:t>
            </w:r>
          </w:p>
        </w:tc>
      </w:tr>
      <w:tr w:rsidR="00965089" w:rsidTr="008270B9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65089" w:rsidTr="008270B9">
        <w:trPr>
          <w:cantSplit/>
          <w:trHeight w:val="58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089" w:rsidTr="008270B9">
        <w:trPr>
          <w:cantSplit/>
          <w:trHeight w:val="556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Гаражи</w:t>
            </w:r>
          </w:p>
        </w:tc>
      </w:tr>
      <w:tr w:rsidR="00965089" w:rsidTr="008270B9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подземные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52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АЗС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5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Промышленность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нефтегазового комплекса (площадь менее 0,5 га)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нефтегазового комплекса (площадь - от 0,5 до 5 га)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нефтегазового комплекса (площадь - более 5 га)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089" w:rsidTr="008270B9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по добыче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4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находящиеся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5089" w:rsidTr="008270B9">
        <w:trPr>
          <w:cantSplit/>
          <w:trHeight w:val="46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Строительство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089" w:rsidTr="008270B9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65089" w:rsidTr="008270B9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65089" w:rsidTr="008270B9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и производственные базы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474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Связь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089" w:rsidTr="008270B9">
        <w:trPr>
          <w:cantSplit/>
          <w:trHeight w:val="53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Рекреационная деятельность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хозяйство: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089" w:rsidTr="008270B9">
        <w:trPr>
          <w:cantSplit/>
          <w:trHeight w:val="52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Торговля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Рынки, авторынки, 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павильонах,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подпункте 19.4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49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Общественное питание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5089" w:rsidTr="008270B9">
        <w:trPr>
          <w:cantSplit/>
          <w:trHeight w:val="45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Реклама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5089" w:rsidTr="008270B9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установки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089" w:rsidTr="008270B9">
        <w:trPr>
          <w:cantSplit/>
          <w:trHeight w:val="450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089" w:rsidTr="008270B9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089" w:rsidRDefault="00965089" w:rsidP="0082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65089" w:rsidRDefault="00965089" w:rsidP="00965089">
      <w:pPr>
        <w:ind w:firstLine="708"/>
        <w:jc w:val="both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</w:p>
    <w:p w:rsidR="00965089" w:rsidRDefault="00965089" w:rsidP="009650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965089" w:rsidRDefault="00965089" w:rsidP="00965089">
      <w:pPr>
        <w:ind w:firstLine="708"/>
        <w:jc w:val="center"/>
        <w:rPr>
          <w:sz w:val="28"/>
          <w:szCs w:val="28"/>
        </w:rPr>
      </w:pPr>
    </w:p>
    <w:p w:rsidR="00965089" w:rsidRDefault="00965089" w:rsidP="009650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Коэффициенты, учитывающие местоположение </w:t>
      </w:r>
    </w:p>
    <w:p w:rsidR="00965089" w:rsidRDefault="00965089" w:rsidP="009650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965089" w:rsidRDefault="00965089" w:rsidP="0096508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1"/>
        <w:gridCol w:w="2937"/>
        <w:gridCol w:w="2107"/>
        <w:gridCol w:w="1620"/>
      </w:tblGrid>
      <w:tr w:rsidR="00965089" w:rsidTr="008270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spacing w:line="360" w:lineRule="auto"/>
            </w:pPr>
            <w: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spacing w:line="360" w:lineRule="auto"/>
            </w:pPr>
            <w:r>
              <w:t xml:space="preserve">Наименование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spacing w:line="360" w:lineRule="auto"/>
            </w:pPr>
            <w:r>
              <w:t>Наименование насел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spacing w:line="360" w:lineRule="auto"/>
              <w:jc w:val="center"/>
            </w:pPr>
            <w:proofErr w:type="spellStart"/>
            <w:r>
              <w:t>Местопол</w:t>
            </w:r>
            <w:proofErr w:type="spellEnd"/>
            <w:r>
              <w:t xml:space="preserve">. 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spacing w:line="360" w:lineRule="auto"/>
              <w:jc w:val="center"/>
            </w:pPr>
            <w:proofErr w:type="spellStart"/>
            <w:r>
              <w:t>Коэф</w:t>
            </w:r>
            <w:proofErr w:type="spellEnd"/>
            <w:r>
              <w:t xml:space="preserve"> </w:t>
            </w:r>
            <w:proofErr w:type="gramStart"/>
            <w:r>
              <w:t>–т</w:t>
            </w:r>
            <w:proofErr w:type="gramEnd"/>
            <w:r>
              <w:t>ы</w:t>
            </w:r>
          </w:p>
        </w:tc>
      </w:tr>
      <w:tr w:rsidR="00965089" w:rsidTr="008270B9">
        <w:trPr>
          <w:cantSplit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r>
              <w:t>1.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roofErr w:type="spellStart"/>
            <w:r>
              <w:t>Бекетовский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roofErr w:type="spellStart"/>
            <w:r>
              <w:t>Бекетово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jc w:val="center"/>
            </w:pPr>
            <w:r>
              <w:t>Центр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jc w:val="center"/>
            </w:pPr>
            <w:r>
              <w:t>2,2</w:t>
            </w:r>
          </w:p>
        </w:tc>
      </w:tr>
      <w:tr w:rsidR="00965089" w:rsidTr="008270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r>
              <w:t>Городецкое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jc w:val="center"/>
            </w:pPr>
            <w:r>
              <w:t>1,9</w:t>
            </w:r>
          </w:p>
        </w:tc>
      </w:tr>
      <w:tr w:rsidR="00965089" w:rsidTr="008270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roofErr w:type="spellStart"/>
            <w:r>
              <w:t>Новотураево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jc w:val="center"/>
            </w:pPr>
            <w:r>
              <w:t>1,9</w:t>
            </w:r>
          </w:p>
        </w:tc>
      </w:tr>
      <w:tr w:rsidR="00965089" w:rsidTr="008270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r>
              <w:t>Новый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jc w:val="center"/>
            </w:pPr>
            <w:r>
              <w:t>1,9</w:t>
            </w:r>
          </w:p>
        </w:tc>
      </w:tr>
      <w:tr w:rsidR="00965089" w:rsidTr="008270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roofErr w:type="spellStart"/>
            <w:r>
              <w:t>Сысоевка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jc w:val="center"/>
            </w:pPr>
            <w:r>
              <w:t>1,3</w:t>
            </w:r>
          </w:p>
        </w:tc>
      </w:tr>
      <w:tr w:rsidR="00965089" w:rsidTr="008270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roofErr w:type="spellStart"/>
            <w:r>
              <w:t>Хорошовка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jc w:val="center"/>
            </w:pPr>
            <w:r>
              <w:t>1,3</w:t>
            </w:r>
          </w:p>
        </w:tc>
      </w:tr>
      <w:tr w:rsidR="00965089" w:rsidTr="008270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89" w:rsidRDefault="00965089" w:rsidP="008270B9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roofErr w:type="spellStart"/>
            <w:r>
              <w:t>Кожай</w:t>
            </w:r>
            <w:proofErr w:type="spellEnd"/>
            <w:r>
              <w:t>-Максимова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8270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9" w:rsidRDefault="00965089" w:rsidP="008270B9">
            <w:pPr>
              <w:jc w:val="center"/>
            </w:pPr>
            <w:r>
              <w:t>1</w:t>
            </w:r>
          </w:p>
        </w:tc>
      </w:tr>
    </w:tbl>
    <w:p w:rsidR="00965089" w:rsidRDefault="00965089" w:rsidP="00965089">
      <w:pPr>
        <w:pStyle w:val="3"/>
        <w:tabs>
          <w:tab w:val="left" w:pos="4320"/>
        </w:tabs>
        <w:ind w:firstLine="0"/>
        <w:jc w:val="both"/>
      </w:pPr>
    </w:p>
    <w:p w:rsidR="00965089" w:rsidRDefault="00965089" w:rsidP="00965089">
      <w:pPr>
        <w:pStyle w:val="3"/>
        <w:ind w:firstLine="0"/>
        <w:jc w:val="both"/>
        <w:rPr>
          <w:rFonts w:eastAsia="Arial Unicode MS"/>
          <w:b/>
        </w:rPr>
      </w:pPr>
    </w:p>
    <w:p w:rsidR="00965089" w:rsidRDefault="00965089" w:rsidP="00965089"/>
    <w:p w:rsidR="00965089" w:rsidRDefault="00965089" w:rsidP="00965089">
      <w:pPr>
        <w:tabs>
          <w:tab w:val="left" w:pos="2430"/>
        </w:tabs>
        <w:spacing w:before="20"/>
        <w:ind w:firstLine="740"/>
      </w:pPr>
    </w:p>
    <w:p w:rsidR="00965089" w:rsidRPr="00FD42E4" w:rsidRDefault="00965089" w:rsidP="00965089">
      <w:pPr>
        <w:tabs>
          <w:tab w:val="left" w:pos="2430"/>
        </w:tabs>
        <w:spacing w:before="20"/>
        <w:ind w:firstLine="740"/>
      </w:pPr>
    </w:p>
    <w:p w:rsidR="00AD61CF" w:rsidRDefault="00AD61CF"/>
    <w:sectPr w:rsidR="00AD61CF" w:rsidSect="00965089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9"/>
    <w:rsid w:val="00965089"/>
    <w:rsid w:val="00A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508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5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650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9650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965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089"/>
    <w:rPr>
      <w:color w:val="0000FF" w:themeColor="hyperlink"/>
      <w:u w:val="single"/>
    </w:rPr>
  </w:style>
  <w:style w:type="paragraph" w:customStyle="1" w:styleId="ConsPlusTitle">
    <w:name w:val="ConsPlusTitle"/>
    <w:rsid w:val="0096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6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508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5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650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9650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965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089"/>
    <w:rPr>
      <w:color w:val="0000FF" w:themeColor="hyperlink"/>
      <w:u w:val="single"/>
    </w:rPr>
  </w:style>
  <w:style w:type="paragraph" w:customStyle="1" w:styleId="ConsPlusTitle">
    <w:name w:val="ConsPlusTitle"/>
    <w:rsid w:val="0096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6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968663D866923F61CAB12AE3A6588D379DD55A08EBF28267BC94EF0bAk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3641</Words>
  <Characters>20759</Characters>
  <Application>Microsoft Office Word</Application>
  <DocSecurity>0</DocSecurity>
  <Lines>172</Lines>
  <Paragraphs>48</Paragraphs>
  <ScaleCrop>false</ScaleCrop>
  <Company/>
  <LinksUpToDate>false</LinksUpToDate>
  <CharactersWithSpaces>24352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2016-04-22T06:36:00Z</dcterms:created>
  <dcterms:modified xsi:type="dcterms:W3CDTF">2016-04-22T06:38:00Z</dcterms:modified>
</cp:coreProperties>
</file>